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99768D" w:rsidRDefault="00BD1CE0">
      <w:pPr>
        <w:rPr>
          <w:rFonts w:ascii="Arial" w:eastAsia="Arial" w:hAnsi="Arial" w:cs="Arial"/>
          <w:b/>
          <w:sz w:val="36"/>
          <w:szCs w:val="36"/>
        </w:rPr>
      </w:pPr>
      <w:r>
        <w:rPr>
          <w:rFonts w:ascii="Arial" w:eastAsia="Arial" w:hAnsi="Arial" w:cs="Arial"/>
          <w:b/>
          <w:sz w:val="36"/>
          <w:szCs w:val="36"/>
        </w:rPr>
        <w:t>Framework Schedule 3 (Framework Prices)</w:t>
      </w:r>
    </w:p>
    <w:p w14:paraId="00000002" w14:textId="77777777" w:rsidR="0099768D" w:rsidRDefault="00BD1CE0">
      <w:pPr>
        <w:numPr>
          <w:ilvl w:val="0"/>
          <w:numId w:val="1"/>
        </w:numPr>
        <w:pBdr>
          <w:top w:val="nil"/>
          <w:left w:val="nil"/>
          <w:bottom w:val="nil"/>
          <w:right w:val="nil"/>
          <w:between w:val="nil"/>
        </w:pBdr>
        <w:tabs>
          <w:tab w:val="left" w:pos="142"/>
        </w:tabs>
        <w:spacing w:before="120" w:after="240" w:line="240" w:lineRule="auto"/>
        <w:jc w:val="both"/>
      </w:pPr>
      <w:bookmarkStart w:id="0" w:name="_heading=h.gjdgxs" w:colFirst="0" w:colLast="0"/>
      <w:bookmarkEnd w:id="0"/>
      <w:r>
        <w:rPr>
          <w:rFonts w:ascii="Arial" w:eastAsia="Arial" w:hAnsi="Arial" w:cs="Arial"/>
          <w:b/>
          <w:color w:val="000000"/>
          <w:sz w:val="24"/>
          <w:szCs w:val="24"/>
        </w:rPr>
        <w:t>How Framework Prices are used to calculate Call-Off Charges</w:t>
      </w:r>
    </w:p>
    <w:p w14:paraId="00000003" w14:textId="77777777" w:rsidR="0099768D" w:rsidRDefault="00BD1CE0">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 xml:space="preserve">The Framework Prices: </w:t>
      </w:r>
    </w:p>
    <w:p w14:paraId="00000004" w14:textId="77777777" w:rsidR="0099768D" w:rsidRDefault="00BD1CE0">
      <w:pPr>
        <w:numPr>
          <w:ilvl w:val="2"/>
          <w:numId w:val="1"/>
        </w:numPr>
        <w:pBdr>
          <w:top w:val="nil"/>
          <w:left w:val="nil"/>
          <w:bottom w:val="nil"/>
          <w:right w:val="nil"/>
          <w:between w:val="nil"/>
        </w:pBdr>
        <w:tabs>
          <w:tab w:val="left" w:pos="1985"/>
          <w:tab w:val="left" w:pos="2127"/>
          <w:tab w:val="left" w:pos="144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will be used as the basis for the charges (and are maximums that the Supplier may charge) under each Call Off Contract; and</w:t>
      </w:r>
    </w:p>
    <w:p w14:paraId="00000005" w14:textId="77777777" w:rsidR="0099768D" w:rsidRDefault="00BD1CE0">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proofErr w:type="gramStart"/>
      <w:r>
        <w:rPr>
          <w:rFonts w:ascii="Arial" w:eastAsia="Arial" w:hAnsi="Arial" w:cs="Arial"/>
          <w:color w:val="000000"/>
          <w:sz w:val="24"/>
          <w:szCs w:val="24"/>
        </w:rPr>
        <w:t>cannot</w:t>
      </w:r>
      <w:proofErr w:type="gramEnd"/>
      <w:r>
        <w:rPr>
          <w:rFonts w:ascii="Arial" w:eastAsia="Arial" w:hAnsi="Arial" w:cs="Arial"/>
          <w:color w:val="000000"/>
          <w:sz w:val="24"/>
          <w:szCs w:val="24"/>
        </w:rPr>
        <w:t xml:space="preserve"> be increased except as in accordance with this Schedule.</w:t>
      </w:r>
    </w:p>
    <w:p w14:paraId="00000006" w14:textId="77777777" w:rsidR="0099768D" w:rsidRDefault="00BD1CE0">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Charges:</w:t>
      </w:r>
    </w:p>
    <w:p w14:paraId="00000007" w14:textId="77777777" w:rsidR="0099768D" w:rsidRDefault="00BD1CE0">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shall be calculated in accordance with the terms of the Call Off Contract and in particular in accordance with the terms of the Order Form; </w:t>
      </w:r>
    </w:p>
    <w:p w14:paraId="00000008" w14:textId="77777777" w:rsidR="0099768D" w:rsidRDefault="00BD1CE0">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cannot be increased except as specifically permitted by the Call Off Contract and in particular shall only be subject to Indexation where specifically stated in the Order Form; and</w:t>
      </w:r>
    </w:p>
    <w:p w14:paraId="00000009" w14:textId="77777777" w:rsidR="0099768D" w:rsidRDefault="00BD1CE0">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proofErr w:type="gramStart"/>
      <w:r>
        <w:rPr>
          <w:rFonts w:ascii="Arial" w:eastAsia="Arial" w:hAnsi="Arial" w:cs="Arial"/>
          <w:color w:val="000000"/>
          <w:sz w:val="24"/>
          <w:szCs w:val="24"/>
        </w:rPr>
        <w:t>shall</w:t>
      </w:r>
      <w:proofErr w:type="gramEnd"/>
      <w:r>
        <w:rPr>
          <w:rFonts w:ascii="Arial" w:eastAsia="Arial" w:hAnsi="Arial" w:cs="Arial"/>
          <w:color w:val="000000"/>
          <w:sz w:val="24"/>
          <w:szCs w:val="24"/>
        </w:rPr>
        <w:t xml:space="preserve"> not be impacted by any change to the Framework Prices.</w:t>
      </w:r>
    </w:p>
    <w:p w14:paraId="0000000A" w14:textId="77777777" w:rsidR="0099768D" w:rsidRDefault="00BD1CE0">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Any variation to the Charges payable under a Call Off Contract must be agreed between the Supplier and the Buyer and implemented using the same procedure for altering Framework Prices in accordance with the provisions of this Framework Schedule 3</w:t>
      </w:r>
    </w:p>
    <w:p w14:paraId="0000000B" w14:textId="77777777" w:rsidR="0099768D" w:rsidRDefault="00BD1CE0">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How Framework Prices are calculated</w:t>
      </w:r>
    </w:p>
    <w:p w14:paraId="0000000C" w14:textId="77777777" w:rsidR="0099768D" w:rsidRDefault="00BD1CE0">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 xml:space="preserve">The pricing mechanisms and prices set out in Annex 1 shall be available for use in calculation of Framework Prices in Call </w:t>
      </w:r>
      <w:proofErr w:type="gramStart"/>
      <w:r>
        <w:rPr>
          <w:rFonts w:ascii="Arial" w:eastAsia="Arial" w:hAnsi="Arial" w:cs="Arial"/>
          <w:color w:val="000000"/>
          <w:sz w:val="24"/>
          <w:szCs w:val="24"/>
        </w:rPr>
        <w:t>Off</w:t>
      </w:r>
      <w:proofErr w:type="gramEnd"/>
      <w:r>
        <w:rPr>
          <w:rFonts w:ascii="Arial" w:eastAsia="Arial" w:hAnsi="Arial" w:cs="Arial"/>
          <w:color w:val="000000"/>
          <w:sz w:val="24"/>
          <w:szCs w:val="24"/>
        </w:rPr>
        <w:t xml:space="preserve"> Contracts.</w:t>
      </w:r>
    </w:p>
    <w:p w14:paraId="0000000D" w14:textId="77777777" w:rsidR="0099768D" w:rsidRDefault="00BD1CE0">
      <w:pPr>
        <w:numPr>
          <w:ilvl w:val="0"/>
          <w:numId w:val="1"/>
        </w:numPr>
        <w:pBdr>
          <w:top w:val="nil"/>
          <w:left w:val="nil"/>
          <w:bottom w:val="nil"/>
          <w:right w:val="nil"/>
          <w:between w:val="nil"/>
        </w:pBdr>
        <w:tabs>
          <w:tab w:val="left" w:pos="142"/>
        </w:tabs>
        <w:spacing w:before="120" w:after="240" w:line="240" w:lineRule="auto"/>
        <w:jc w:val="both"/>
      </w:pPr>
      <w:bookmarkStart w:id="2" w:name="bookmark=id.3znysh7" w:colFirst="0" w:colLast="0"/>
      <w:bookmarkStart w:id="3" w:name="_heading=h.1fob9te" w:colFirst="0" w:colLast="0"/>
      <w:bookmarkEnd w:id="2"/>
      <w:bookmarkEnd w:id="3"/>
      <w:r>
        <w:rPr>
          <w:rFonts w:ascii="Arial" w:eastAsia="Arial" w:hAnsi="Arial" w:cs="Arial"/>
          <w:b/>
          <w:color w:val="000000"/>
          <w:sz w:val="24"/>
          <w:szCs w:val="24"/>
        </w:rPr>
        <w:t>Are costs and expenses are included in the Framework Prices</w:t>
      </w:r>
    </w:p>
    <w:p w14:paraId="0000000E" w14:textId="77777777" w:rsidR="0099768D" w:rsidRDefault="00BD1CE0">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Except as expressly set out in Paragraph 4 below, or otherwise stated in a Call Off Order Form] the Framework Prices shall include all costs and expenses relating to the provision of Deliverables. No further amounts shall be payable in respect of matters such as:</w:t>
      </w:r>
    </w:p>
    <w:p w14:paraId="0000000F" w14:textId="77777777" w:rsidR="0099768D" w:rsidRDefault="00BD1CE0">
      <w:pPr>
        <w:numPr>
          <w:ilvl w:val="2"/>
          <w:numId w:val="1"/>
        </w:numPr>
        <w:pBdr>
          <w:top w:val="nil"/>
          <w:left w:val="nil"/>
          <w:bottom w:val="nil"/>
          <w:right w:val="nil"/>
          <w:between w:val="nil"/>
        </w:pBdr>
        <w:tabs>
          <w:tab w:val="left" w:pos="1985"/>
          <w:tab w:val="left" w:pos="2127"/>
          <w:tab w:val="left" w:pos="198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incidental expenses such as travel, subsistence and lodging, document or report reproduction, shipping, desktop or office equipment costs, network or data interchange costs or other telecommunications charges; or</w:t>
      </w:r>
    </w:p>
    <w:p w14:paraId="00000010" w14:textId="77777777" w:rsidR="0099768D" w:rsidRDefault="00BD1CE0">
      <w:pPr>
        <w:numPr>
          <w:ilvl w:val="2"/>
          <w:numId w:val="1"/>
        </w:numPr>
        <w:pBdr>
          <w:top w:val="nil"/>
          <w:left w:val="nil"/>
          <w:bottom w:val="nil"/>
          <w:right w:val="nil"/>
          <w:between w:val="nil"/>
        </w:pBdr>
        <w:tabs>
          <w:tab w:val="left" w:pos="1985"/>
          <w:tab w:val="left" w:pos="2127"/>
          <w:tab w:val="left" w:pos="1980"/>
        </w:tabs>
        <w:spacing w:before="120" w:after="120" w:line="240" w:lineRule="auto"/>
        <w:ind w:left="1980" w:hanging="810"/>
        <w:rPr>
          <w:rFonts w:ascii="Arial" w:eastAsia="Arial" w:hAnsi="Arial" w:cs="Arial"/>
          <w:color w:val="000000"/>
          <w:sz w:val="24"/>
          <w:szCs w:val="24"/>
        </w:rPr>
      </w:pPr>
      <w:proofErr w:type="gramStart"/>
      <w:r>
        <w:rPr>
          <w:rFonts w:ascii="Arial" w:eastAsia="Arial" w:hAnsi="Arial" w:cs="Arial"/>
          <w:color w:val="000000"/>
          <w:sz w:val="24"/>
          <w:szCs w:val="24"/>
        </w:rPr>
        <w:t>costs</w:t>
      </w:r>
      <w:proofErr w:type="gramEnd"/>
      <w:r>
        <w:rPr>
          <w:rFonts w:ascii="Arial" w:eastAsia="Arial" w:hAnsi="Arial" w:cs="Arial"/>
          <w:color w:val="000000"/>
          <w:sz w:val="24"/>
          <w:szCs w:val="24"/>
        </w:rPr>
        <w:t xml:space="preserve"> incurred prior to the commencement of any Call Off Contract.</w:t>
      </w:r>
    </w:p>
    <w:p w14:paraId="00000011" w14:textId="77777777" w:rsidR="0099768D" w:rsidRDefault="00BD1CE0">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When the Supplier can ask to change the Framework Prices</w:t>
      </w:r>
    </w:p>
    <w:p w14:paraId="00000012" w14:textId="77777777" w:rsidR="0099768D" w:rsidRDefault="00BD1CE0">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Framework Prices will be fixed for the first</w:t>
      </w:r>
      <w:r>
        <w:rPr>
          <w:rFonts w:ascii="Arial" w:eastAsia="Arial" w:hAnsi="Arial" w:cs="Arial"/>
          <w:b/>
          <w:color w:val="000000"/>
          <w:sz w:val="24"/>
          <w:szCs w:val="24"/>
        </w:rPr>
        <w:t xml:space="preserve"> </w:t>
      </w:r>
      <w:r>
        <w:rPr>
          <w:rFonts w:ascii="Arial" w:eastAsia="Arial" w:hAnsi="Arial" w:cs="Arial"/>
          <w:b/>
          <w:sz w:val="24"/>
          <w:szCs w:val="24"/>
        </w:rPr>
        <w:t>2</w:t>
      </w:r>
      <w:r>
        <w:rPr>
          <w:rFonts w:ascii="Arial" w:eastAsia="Arial" w:hAnsi="Arial" w:cs="Arial"/>
          <w:color w:val="000000"/>
          <w:sz w:val="24"/>
          <w:szCs w:val="24"/>
        </w:rPr>
        <w:t xml:space="preserve"> years following the Framework Contract Commencement Date (the date of expiry of such period is a "</w:t>
      </w:r>
      <w:r>
        <w:rPr>
          <w:rFonts w:ascii="Arial" w:eastAsia="Arial" w:hAnsi="Arial" w:cs="Arial"/>
          <w:b/>
          <w:color w:val="000000"/>
          <w:sz w:val="24"/>
          <w:szCs w:val="24"/>
        </w:rPr>
        <w:t>Review Date</w:t>
      </w:r>
      <w:r>
        <w:rPr>
          <w:rFonts w:ascii="Arial" w:eastAsia="Arial" w:hAnsi="Arial" w:cs="Arial"/>
          <w:color w:val="000000"/>
          <w:sz w:val="24"/>
          <w:szCs w:val="24"/>
        </w:rPr>
        <w:t>").  After this Framework Prices can only be adjusted on each following yearly anniversary (the date of each such anniversary is also a "</w:t>
      </w:r>
      <w:r>
        <w:rPr>
          <w:rFonts w:ascii="Arial" w:eastAsia="Arial" w:hAnsi="Arial" w:cs="Arial"/>
          <w:b/>
          <w:color w:val="000000"/>
          <w:sz w:val="24"/>
          <w:szCs w:val="24"/>
        </w:rPr>
        <w:t>Review Date</w:t>
      </w:r>
      <w:r>
        <w:rPr>
          <w:rFonts w:ascii="Arial" w:eastAsia="Arial" w:hAnsi="Arial" w:cs="Arial"/>
          <w:color w:val="000000"/>
          <w:sz w:val="24"/>
          <w:szCs w:val="24"/>
        </w:rPr>
        <w:t>").</w:t>
      </w:r>
    </w:p>
    <w:p w14:paraId="00000013" w14:textId="77777777" w:rsidR="0099768D" w:rsidRDefault="00BD1CE0">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bookmarkStart w:id="4" w:name="_heading=h.2et92p0" w:colFirst="0" w:colLast="0"/>
      <w:bookmarkEnd w:id="4"/>
      <w:r>
        <w:rPr>
          <w:rFonts w:ascii="Arial" w:eastAsia="Arial" w:hAnsi="Arial" w:cs="Arial"/>
          <w:color w:val="000000"/>
          <w:sz w:val="24"/>
          <w:szCs w:val="24"/>
        </w:rPr>
        <w:lastRenderedPageBreak/>
        <w:t>The Supplier shall give CCS at least three (3) Months' notice in writing prior to a Review Date where it wants to request an increase.  If the Supplier does not give notice in time then it will only be able to request an increase prior to the next Review Date.</w:t>
      </w:r>
    </w:p>
    <w:p w14:paraId="00000014" w14:textId="77777777" w:rsidR="0099768D" w:rsidRDefault="00BD1CE0">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Any notice requesting an increase shall include:</w:t>
      </w:r>
    </w:p>
    <w:p w14:paraId="00000015" w14:textId="77777777" w:rsidR="0099768D" w:rsidRDefault="00BD1CE0">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a list of the Framework Prices to be reviewed;</w:t>
      </w:r>
    </w:p>
    <w:p w14:paraId="00000016" w14:textId="77777777" w:rsidR="0099768D" w:rsidRDefault="00BD1CE0">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for each Framework Price under review, written evidence of the justification for the requested increase including:</w:t>
      </w:r>
    </w:p>
    <w:p w14:paraId="00000017" w14:textId="77777777" w:rsidR="0099768D" w:rsidRDefault="00BD1CE0">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color w:val="000000"/>
          <w:sz w:val="24"/>
          <w:szCs w:val="24"/>
        </w:rPr>
      </w:pPr>
      <w:r>
        <w:rPr>
          <w:rFonts w:ascii="Arial" w:eastAsia="Arial" w:hAnsi="Arial" w:cs="Arial"/>
          <w:color w:val="000000"/>
          <w:sz w:val="24"/>
          <w:szCs w:val="24"/>
        </w:rPr>
        <w:t xml:space="preserve">a breakdown of the profit and cost components that comprise the relevant Framework Price; </w:t>
      </w:r>
    </w:p>
    <w:p w14:paraId="00000018" w14:textId="77777777" w:rsidR="0099768D" w:rsidRDefault="00BD1CE0">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color w:val="000000"/>
          <w:sz w:val="24"/>
          <w:szCs w:val="24"/>
        </w:rPr>
      </w:pPr>
      <w:r>
        <w:rPr>
          <w:rFonts w:ascii="Arial" w:eastAsia="Arial" w:hAnsi="Arial" w:cs="Arial"/>
          <w:color w:val="000000"/>
          <w:sz w:val="24"/>
          <w:szCs w:val="24"/>
        </w:rPr>
        <w:t>[details of the movement in the different identified cost components of the relevant Framework Price;</w:t>
      </w:r>
    </w:p>
    <w:p w14:paraId="00000019" w14:textId="77777777" w:rsidR="0099768D" w:rsidRDefault="00BD1CE0">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color w:val="000000"/>
          <w:sz w:val="24"/>
          <w:szCs w:val="24"/>
        </w:rPr>
      </w:pPr>
      <w:r>
        <w:rPr>
          <w:rFonts w:ascii="Arial" w:eastAsia="Arial" w:hAnsi="Arial" w:cs="Arial"/>
          <w:color w:val="000000"/>
          <w:sz w:val="24"/>
          <w:szCs w:val="24"/>
        </w:rPr>
        <w:t>[reasons for the movement in the different identified cost components of the relevant Framework Price;</w:t>
      </w:r>
    </w:p>
    <w:p w14:paraId="0000001A" w14:textId="77777777" w:rsidR="0099768D" w:rsidRDefault="00BD1CE0">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color w:val="000000"/>
          <w:sz w:val="24"/>
          <w:szCs w:val="24"/>
        </w:rPr>
      </w:pPr>
      <w:r>
        <w:rPr>
          <w:rFonts w:ascii="Arial" w:eastAsia="Arial" w:hAnsi="Arial" w:cs="Arial"/>
          <w:color w:val="000000"/>
          <w:sz w:val="24"/>
          <w:szCs w:val="24"/>
        </w:rPr>
        <w:t>evidence that the Supplier has attempted to mitigate against the increase in the relevant cost components; and</w:t>
      </w:r>
    </w:p>
    <w:p w14:paraId="0000001B" w14:textId="77777777" w:rsidR="0099768D" w:rsidRDefault="00BD1CE0">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color w:val="000000"/>
          <w:sz w:val="24"/>
          <w:szCs w:val="24"/>
        </w:rPr>
      </w:pPr>
      <w:proofErr w:type="gramStart"/>
      <w:r>
        <w:rPr>
          <w:rFonts w:ascii="Arial" w:eastAsia="Arial" w:hAnsi="Arial" w:cs="Arial"/>
          <w:color w:val="000000"/>
          <w:sz w:val="24"/>
          <w:szCs w:val="24"/>
        </w:rPr>
        <w:t>evidence</w:t>
      </w:r>
      <w:proofErr w:type="gramEnd"/>
      <w:r>
        <w:rPr>
          <w:rFonts w:ascii="Arial" w:eastAsia="Arial" w:hAnsi="Arial" w:cs="Arial"/>
          <w:color w:val="000000"/>
          <w:sz w:val="24"/>
          <w:szCs w:val="24"/>
        </w:rPr>
        <w:t xml:space="preserve"> that the Supplier’s profit component of the relevant  Framework Price is no greater than that applying to Framework Prices using the same pricing mechanism as at the Contract Commencement Date.</w:t>
      </w:r>
    </w:p>
    <w:p w14:paraId="0000001C" w14:textId="77777777" w:rsidR="0099768D" w:rsidRDefault="0099768D">
      <w:pPr>
        <w:pBdr>
          <w:top w:val="nil"/>
          <w:left w:val="nil"/>
          <w:bottom w:val="nil"/>
          <w:right w:val="nil"/>
          <w:between w:val="nil"/>
        </w:pBdr>
        <w:tabs>
          <w:tab w:val="left" w:pos="1985"/>
          <w:tab w:val="left" w:pos="2127"/>
        </w:tabs>
        <w:spacing w:before="120" w:after="120" w:line="240" w:lineRule="auto"/>
        <w:ind w:hanging="1701"/>
        <w:rPr>
          <w:rFonts w:ascii="Arial" w:eastAsia="Arial" w:hAnsi="Arial" w:cs="Arial"/>
          <w:color w:val="000000"/>
          <w:sz w:val="24"/>
          <w:szCs w:val="24"/>
        </w:rPr>
      </w:pPr>
    </w:p>
    <w:p w14:paraId="0000001D" w14:textId="77777777" w:rsidR="0099768D" w:rsidRDefault="00BD1CE0">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CCS shall consider each request for a price increase.  CCS may grant Approval to an increase at its sole discretion.</w:t>
      </w:r>
    </w:p>
    <w:p w14:paraId="0000001E" w14:textId="77777777" w:rsidR="0099768D" w:rsidRDefault="00BD1CE0">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Where CCS approves an increase then it will be implemented from the first (1st) Working Day following the relevant Review Date or such later date as CCS may determine at its sole discretion and Annex 1 shall be updated accordingly.</w:t>
      </w:r>
    </w:p>
    <w:p w14:paraId="0000001F" w14:textId="77777777" w:rsidR="0099768D" w:rsidRDefault="00BD1CE0">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Other events that allow the Supplier to change the Framework Prices</w:t>
      </w:r>
    </w:p>
    <w:p w14:paraId="00000020" w14:textId="77777777" w:rsidR="0099768D" w:rsidRDefault="00BD1CE0">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Framework Prices can also be varied (and Annex 1 will be updated accordingly) due to:</w:t>
      </w:r>
    </w:p>
    <w:p w14:paraId="00000021" w14:textId="77777777" w:rsidR="0099768D" w:rsidRDefault="00BD1CE0">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a Specific Change in Law in accordance with Clause 24;</w:t>
      </w:r>
    </w:p>
    <w:p w14:paraId="00000022" w14:textId="77777777" w:rsidR="0099768D" w:rsidRDefault="00BD1CE0">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a review in accordance with insurance requirements in Clause 13; </w:t>
      </w:r>
    </w:p>
    <w:p w14:paraId="00000023" w14:textId="77777777" w:rsidR="0099768D" w:rsidRDefault="00BD1CE0">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a benchmarking review in accordance with Call Off Schedule 16 (Benchmarking)</w:t>
      </w:r>
    </w:p>
    <w:p w14:paraId="00000024" w14:textId="77777777" w:rsidR="0099768D" w:rsidRDefault="00BD1CE0">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indexation, where Annex 1 states that a particular Framework Price or any component is “subject to Indexation” in which event Paragraph 7 below shall apply. </w:t>
      </w:r>
    </w:p>
    <w:p w14:paraId="00000025" w14:textId="77777777" w:rsidR="0099768D" w:rsidRDefault="00BD1CE0">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b/>
          <w:color w:val="000000"/>
          <w:sz w:val="24"/>
          <w:szCs w:val="24"/>
          <w:highlight w:val="white"/>
        </w:rPr>
      </w:pPr>
      <w:r>
        <w:rPr>
          <w:rFonts w:ascii="Arial" w:eastAsia="Arial" w:hAnsi="Arial" w:cs="Arial"/>
          <w:b/>
          <w:color w:val="000000"/>
          <w:sz w:val="24"/>
          <w:szCs w:val="24"/>
          <w:highlight w:val="white"/>
        </w:rPr>
        <w:t>When the Framework Prices are linked to inflation</w:t>
      </w:r>
    </w:p>
    <w:p w14:paraId="00000026" w14:textId="77777777" w:rsidR="0099768D" w:rsidRDefault="00BD1CE0">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lastRenderedPageBreak/>
        <w:t xml:space="preserve">Where </w:t>
      </w:r>
      <w:r>
        <w:rPr>
          <w:rFonts w:ascii="Arial" w:eastAsia="Arial" w:hAnsi="Arial" w:cs="Arial"/>
          <w:color w:val="000000"/>
          <w:sz w:val="24"/>
          <w:szCs w:val="24"/>
          <w:highlight w:val="white"/>
        </w:rPr>
        <w:t>the Framework Charges</w:t>
      </w:r>
      <w:r>
        <w:rPr>
          <w:rFonts w:ascii="Arial" w:eastAsia="Arial" w:hAnsi="Arial" w:cs="Arial"/>
          <w:color w:val="000000"/>
          <w:sz w:val="24"/>
          <w:szCs w:val="24"/>
        </w:rPr>
        <w:t xml:space="preserve"> are stated to be "subject to Indexation" they shall be adjusted in line with changes in the Consumer Price Index ("CPI").  All other costs, expenses, fees and charges shall not be adjusted to take account of any inflation, change to exchange rate, change to interest rate or any other factor or element which might otherwise increase the cost to the Supplier.</w:t>
      </w:r>
    </w:p>
    <w:p w14:paraId="00000027" w14:textId="77777777" w:rsidR="0099768D" w:rsidRDefault="00BD1CE0">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 xml:space="preserve">Framework Prices shall not be indexed during the first </w:t>
      </w:r>
      <w:r>
        <w:rPr>
          <w:rFonts w:ascii="Arial" w:eastAsia="Arial" w:hAnsi="Arial" w:cs="Arial"/>
          <w:b/>
          <w:sz w:val="24"/>
          <w:szCs w:val="24"/>
        </w:rPr>
        <w:t>2</w:t>
      </w:r>
      <w:r>
        <w:rPr>
          <w:rFonts w:ascii="Arial" w:eastAsia="Arial" w:hAnsi="Arial" w:cs="Arial"/>
          <w:color w:val="000000"/>
          <w:sz w:val="24"/>
          <w:szCs w:val="24"/>
        </w:rPr>
        <w:t xml:space="preserve"> years following the Framework Contract Commencement Date.  </w:t>
      </w:r>
    </w:p>
    <w:p w14:paraId="00000028" w14:textId="77777777" w:rsidR="0099768D" w:rsidRDefault="00BD1CE0">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 xml:space="preserve">Where Annex 1 states a Framework Price is subject to Indexation then it will be indexed on the date which is </w:t>
      </w:r>
      <w:r>
        <w:rPr>
          <w:rFonts w:ascii="Arial" w:eastAsia="Arial" w:hAnsi="Arial" w:cs="Arial"/>
          <w:b/>
          <w:sz w:val="24"/>
          <w:szCs w:val="24"/>
        </w:rPr>
        <w:t>2</w:t>
      </w:r>
      <w:r>
        <w:rPr>
          <w:rFonts w:ascii="Arial" w:eastAsia="Arial" w:hAnsi="Arial" w:cs="Arial"/>
          <w:color w:val="000000"/>
          <w:sz w:val="24"/>
          <w:szCs w:val="24"/>
        </w:rPr>
        <w:t xml:space="preserve"> years after the Framework Commencement Date to reflect the percentage change in the CPI since the Framework Commencement Date.  They shall be indexed on each following yearly anniversary to reflect the percentage change in the CPI since the previous change.</w:t>
      </w:r>
    </w:p>
    <w:p w14:paraId="00000029" w14:textId="77777777" w:rsidR="0099768D" w:rsidRDefault="00BD1CE0">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Where the CPI Index:</w:t>
      </w:r>
    </w:p>
    <w:p w14:paraId="0000002A" w14:textId="77777777" w:rsidR="0099768D" w:rsidRDefault="00BD1CE0">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used to carry out an indexation calculation is updated (for example due to it being provisional) then the indexation calculation shall also be updated unless CPS and the Supplier agree otherwise; </w:t>
      </w:r>
    </w:p>
    <w:p w14:paraId="0000002B" w14:textId="77777777" w:rsidR="0099768D" w:rsidRDefault="00BD1CE0">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proofErr w:type="gramStart"/>
      <w:r>
        <w:rPr>
          <w:rFonts w:ascii="Arial" w:eastAsia="Arial" w:hAnsi="Arial" w:cs="Arial"/>
          <w:color w:val="000000"/>
          <w:sz w:val="24"/>
          <w:szCs w:val="24"/>
        </w:rPr>
        <w:t>is</w:t>
      </w:r>
      <w:proofErr w:type="gramEnd"/>
      <w:r>
        <w:rPr>
          <w:rFonts w:ascii="Arial" w:eastAsia="Arial" w:hAnsi="Arial" w:cs="Arial"/>
          <w:color w:val="000000"/>
          <w:sz w:val="24"/>
          <w:szCs w:val="24"/>
        </w:rPr>
        <w:t xml:space="preserve"> no longer published, CCS and the Supplier shall agree a fair and reasonable replacement that will have substantially the same effect.]</w:t>
      </w:r>
    </w:p>
    <w:p w14:paraId="0000002C" w14:textId="77777777" w:rsidR="0099768D" w:rsidRDefault="00BD1CE0">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b/>
          <w:color w:val="000000"/>
          <w:sz w:val="24"/>
          <w:szCs w:val="24"/>
          <w:highlight w:val="white"/>
        </w:rPr>
      </w:pPr>
      <w:r>
        <w:rPr>
          <w:rFonts w:ascii="Arial" w:eastAsia="Arial" w:hAnsi="Arial" w:cs="Arial"/>
          <w:b/>
          <w:color w:val="000000"/>
          <w:sz w:val="24"/>
          <w:szCs w:val="24"/>
          <w:highlight w:val="white"/>
        </w:rPr>
        <w:t>When you will be reimbursed for travel and subsistence</w:t>
      </w:r>
    </w:p>
    <w:p w14:paraId="0000002D" w14:textId="77777777" w:rsidR="0099768D" w:rsidRDefault="00BD1CE0">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highlight w:val="white"/>
        </w:rPr>
      </w:pPr>
      <w:r>
        <w:rPr>
          <w:rFonts w:ascii="Arial" w:eastAsia="Arial" w:hAnsi="Arial" w:cs="Arial"/>
          <w:color w:val="000000"/>
          <w:sz w:val="24"/>
          <w:szCs w:val="24"/>
          <w:highlight w:val="white"/>
        </w:rPr>
        <w:t>[Expenses shall only be recoverable where:</w:t>
      </w:r>
    </w:p>
    <w:p w14:paraId="0000002E" w14:textId="77777777" w:rsidR="0099768D" w:rsidRDefault="00BD1CE0">
      <w:pPr>
        <w:numPr>
          <w:ilvl w:val="2"/>
          <w:numId w:val="1"/>
        </w:numPr>
        <w:pBdr>
          <w:top w:val="nil"/>
          <w:left w:val="nil"/>
          <w:bottom w:val="nil"/>
          <w:right w:val="nil"/>
          <w:between w:val="nil"/>
        </w:pBdr>
        <w:tabs>
          <w:tab w:val="left" w:pos="1985"/>
          <w:tab w:val="left" w:pos="2127"/>
          <w:tab w:val="left" w:pos="1980"/>
        </w:tabs>
        <w:spacing w:before="120" w:after="120" w:line="240" w:lineRule="auto"/>
        <w:ind w:left="1980" w:hanging="810"/>
        <w:rPr>
          <w:rFonts w:ascii="Arial" w:eastAsia="Arial" w:hAnsi="Arial" w:cs="Arial"/>
          <w:color w:val="000000"/>
          <w:sz w:val="24"/>
          <w:szCs w:val="24"/>
          <w:highlight w:val="white"/>
        </w:rPr>
      </w:pPr>
      <w:r>
        <w:rPr>
          <w:rFonts w:ascii="Arial" w:eastAsia="Arial" w:hAnsi="Arial" w:cs="Arial"/>
          <w:color w:val="000000"/>
          <w:sz w:val="24"/>
          <w:szCs w:val="24"/>
          <w:highlight w:val="white"/>
        </w:rPr>
        <w:t>the Order Form states that recovery is permitted; and</w:t>
      </w:r>
    </w:p>
    <w:p w14:paraId="0000002F" w14:textId="77777777" w:rsidR="0099768D" w:rsidRDefault="00BD1CE0">
      <w:pPr>
        <w:numPr>
          <w:ilvl w:val="2"/>
          <w:numId w:val="1"/>
        </w:numPr>
        <w:pBdr>
          <w:top w:val="nil"/>
          <w:left w:val="nil"/>
          <w:bottom w:val="nil"/>
          <w:right w:val="nil"/>
          <w:between w:val="nil"/>
        </w:pBdr>
        <w:tabs>
          <w:tab w:val="left" w:pos="1985"/>
          <w:tab w:val="left" w:pos="2127"/>
          <w:tab w:val="left" w:pos="1980"/>
        </w:tabs>
        <w:spacing w:before="120" w:after="120" w:line="240" w:lineRule="auto"/>
        <w:ind w:left="1980" w:hanging="810"/>
        <w:rPr>
          <w:rFonts w:ascii="Arial" w:eastAsia="Arial" w:hAnsi="Arial" w:cs="Arial"/>
          <w:color w:val="000000"/>
          <w:sz w:val="24"/>
          <w:szCs w:val="24"/>
          <w:highlight w:val="white"/>
        </w:rPr>
      </w:pPr>
      <w:proofErr w:type="gramStart"/>
      <w:r>
        <w:rPr>
          <w:rFonts w:ascii="Arial" w:eastAsia="Arial" w:hAnsi="Arial" w:cs="Arial"/>
          <w:color w:val="000000"/>
          <w:sz w:val="24"/>
          <w:szCs w:val="24"/>
          <w:highlight w:val="white"/>
        </w:rPr>
        <w:t>they</w:t>
      </w:r>
      <w:proofErr w:type="gramEnd"/>
      <w:r>
        <w:rPr>
          <w:rFonts w:ascii="Arial" w:eastAsia="Arial" w:hAnsi="Arial" w:cs="Arial"/>
          <w:color w:val="000000"/>
          <w:sz w:val="24"/>
          <w:szCs w:val="24"/>
          <w:highlight w:val="white"/>
        </w:rPr>
        <w:t xml:space="preserve"> are </w:t>
      </w:r>
      <w:proofErr w:type="spellStart"/>
      <w:r>
        <w:rPr>
          <w:rFonts w:ascii="Arial" w:eastAsia="Arial" w:hAnsi="Arial" w:cs="Arial"/>
          <w:color w:val="000000"/>
          <w:sz w:val="24"/>
          <w:szCs w:val="24"/>
          <w:highlight w:val="white"/>
        </w:rPr>
        <w:t>Reimburseable</w:t>
      </w:r>
      <w:proofErr w:type="spellEnd"/>
      <w:r>
        <w:rPr>
          <w:rFonts w:ascii="Arial" w:eastAsia="Arial" w:hAnsi="Arial" w:cs="Arial"/>
          <w:color w:val="000000"/>
          <w:sz w:val="24"/>
          <w:szCs w:val="24"/>
          <w:highlight w:val="white"/>
        </w:rPr>
        <w:t xml:space="preserve"> Expenses and are supported by Supporting Documentation.</w:t>
      </w:r>
    </w:p>
    <w:p w14:paraId="00000030" w14:textId="77777777" w:rsidR="0099768D" w:rsidRDefault="0099768D">
      <w:pPr>
        <w:pBdr>
          <w:top w:val="nil"/>
          <w:left w:val="nil"/>
          <w:bottom w:val="nil"/>
          <w:right w:val="nil"/>
          <w:between w:val="nil"/>
        </w:pBdr>
        <w:tabs>
          <w:tab w:val="left" w:pos="709"/>
        </w:tabs>
        <w:spacing w:before="120" w:after="120" w:line="240" w:lineRule="auto"/>
        <w:ind w:left="644"/>
        <w:rPr>
          <w:rFonts w:ascii="Arial" w:eastAsia="Arial" w:hAnsi="Arial" w:cs="Arial"/>
          <w:color w:val="000000"/>
          <w:sz w:val="24"/>
          <w:szCs w:val="24"/>
          <w:highlight w:val="white"/>
        </w:rPr>
      </w:pPr>
      <w:bookmarkStart w:id="5" w:name="_heading=h.tyjcwt" w:colFirst="0" w:colLast="0"/>
      <w:bookmarkEnd w:id="5"/>
    </w:p>
    <w:p w14:paraId="00000031" w14:textId="77777777" w:rsidR="0099768D" w:rsidRDefault="00BD1CE0">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highlight w:val="white"/>
        </w:rPr>
      </w:pPr>
      <w:bookmarkStart w:id="6" w:name="_heading=h.3dy6vkm" w:colFirst="0" w:colLast="0"/>
      <w:bookmarkEnd w:id="6"/>
      <w:r>
        <w:rPr>
          <w:rFonts w:ascii="Arial" w:eastAsia="Arial" w:hAnsi="Arial" w:cs="Arial"/>
          <w:color w:val="000000"/>
          <w:sz w:val="24"/>
          <w:szCs w:val="24"/>
          <w:highlight w:val="white"/>
        </w:rPr>
        <w:t xml:space="preserve">The Buyer shall provide a copy of their current expenses policy to the Supplier upon request. </w:t>
      </w:r>
    </w:p>
    <w:p w14:paraId="00000032" w14:textId="77777777" w:rsidR="0099768D" w:rsidRDefault="0099768D">
      <w:pPr>
        <w:pBdr>
          <w:top w:val="nil"/>
          <w:left w:val="nil"/>
          <w:bottom w:val="nil"/>
          <w:right w:val="nil"/>
          <w:between w:val="nil"/>
        </w:pBdr>
        <w:tabs>
          <w:tab w:val="left" w:pos="0"/>
        </w:tabs>
        <w:spacing w:before="240" w:after="240" w:line="240" w:lineRule="auto"/>
        <w:ind w:left="644" w:hanging="360"/>
        <w:jc w:val="both"/>
        <w:rPr>
          <w:rFonts w:ascii="Arial Bold" w:eastAsia="Arial Bold" w:hAnsi="Arial Bold" w:cs="Arial Bold"/>
          <w:b/>
          <w:smallCaps/>
          <w:highlight w:val="yellow"/>
        </w:rPr>
      </w:pPr>
    </w:p>
    <w:p w14:paraId="00000033" w14:textId="77777777" w:rsidR="0099768D" w:rsidRDefault="0099768D">
      <w:pPr>
        <w:pBdr>
          <w:top w:val="nil"/>
          <w:left w:val="nil"/>
          <w:bottom w:val="nil"/>
          <w:right w:val="nil"/>
          <w:between w:val="nil"/>
        </w:pBdr>
        <w:tabs>
          <w:tab w:val="left" w:pos="0"/>
        </w:tabs>
        <w:spacing w:before="240" w:after="240" w:line="240" w:lineRule="auto"/>
        <w:ind w:left="644" w:hanging="360"/>
        <w:jc w:val="both"/>
        <w:rPr>
          <w:rFonts w:ascii="Arial Bold" w:eastAsia="Arial Bold" w:hAnsi="Arial Bold" w:cs="Arial Bold"/>
          <w:b/>
          <w:smallCaps/>
          <w:highlight w:val="yellow"/>
        </w:rPr>
      </w:pPr>
    </w:p>
    <w:p w14:paraId="00000034" w14:textId="77777777" w:rsidR="0099768D" w:rsidRDefault="0099768D">
      <w:pPr>
        <w:pBdr>
          <w:top w:val="nil"/>
          <w:left w:val="nil"/>
          <w:bottom w:val="nil"/>
          <w:right w:val="nil"/>
          <w:between w:val="nil"/>
        </w:pBdr>
        <w:tabs>
          <w:tab w:val="left" w:pos="0"/>
        </w:tabs>
        <w:spacing w:before="240" w:after="240" w:line="240" w:lineRule="auto"/>
        <w:ind w:left="644" w:hanging="360"/>
        <w:jc w:val="both"/>
        <w:rPr>
          <w:rFonts w:ascii="Arial Bold" w:eastAsia="Arial Bold" w:hAnsi="Arial Bold" w:cs="Arial Bold"/>
          <w:b/>
          <w:smallCaps/>
          <w:highlight w:val="yellow"/>
        </w:rPr>
      </w:pPr>
    </w:p>
    <w:p w14:paraId="00000035" w14:textId="77777777" w:rsidR="0099768D" w:rsidRDefault="0099768D">
      <w:pPr>
        <w:pBdr>
          <w:top w:val="nil"/>
          <w:left w:val="nil"/>
          <w:bottom w:val="nil"/>
          <w:right w:val="nil"/>
          <w:between w:val="nil"/>
        </w:pBdr>
        <w:tabs>
          <w:tab w:val="left" w:pos="0"/>
        </w:tabs>
        <w:spacing w:before="240" w:after="240" w:line="240" w:lineRule="auto"/>
        <w:ind w:left="644" w:hanging="360"/>
        <w:jc w:val="both"/>
        <w:rPr>
          <w:rFonts w:ascii="Arial Bold" w:eastAsia="Arial Bold" w:hAnsi="Arial Bold" w:cs="Arial Bold"/>
          <w:b/>
          <w:smallCaps/>
          <w:highlight w:val="yellow"/>
        </w:rPr>
      </w:pPr>
    </w:p>
    <w:p w14:paraId="00000036" w14:textId="77777777" w:rsidR="0099768D" w:rsidRDefault="0099768D">
      <w:pPr>
        <w:pBdr>
          <w:top w:val="nil"/>
          <w:left w:val="nil"/>
          <w:bottom w:val="nil"/>
          <w:right w:val="nil"/>
          <w:between w:val="nil"/>
        </w:pBdr>
        <w:tabs>
          <w:tab w:val="left" w:pos="0"/>
        </w:tabs>
        <w:spacing w:before="240" w:after="240" w:line="240" w:lineRule="auto"/>
        <w:ind w:left="644" w:hanging="360"/>
        <w:jc w:val="both"/>
        <w:rPr>
          <w:rFonts w:ascii="Arial Bold" w:eastAsia="Arial Bold" w:hAnsi="Arial Bold" w:cs="Arial Bold"/>
          <w:b/>
          <w:smallCaps/>
          <w:highlight w:val="yellow"/>
        </w:rPr>
      </w:pPr>
    </w:p>
    <w:p w14:paraId="00000037" w14:textId="77777777" w:rsidR="0099768D" w:rsidRDefault="0099768D">
      <w:pPr>
        <w:pBdr>
          <w:top w:val="nil"/>
          <w:left w:val="nil"/>
          <w:bottom w:val="nil"/>
          <w:right w:val="nil"/>
          <w:between w:val="nil"/>
        </w:pBdr>
        <w:tabs>
          <w:tab w:val="left" w:pos="0"/>
        </w:tabs>
        <w:spacing w:before="240" w:after="240" w:line="240" w:lineRule="auto"/>
        <w:ind w:left="644" w:hanging="360"/>
        <w:jc w:val="both"/>
        <w:rPr>
          <w:rFonts w:ascii="Arial Bold" w:eastAsia="Arial Bold" w:hAnsi="Arial Bold" w:cs="Arial Bold"/>
          <w:b/>
          <w:smallCaps/>
          <w:highlight w:val="yellow"/>
        </w:rPr>
      </w:pPr>
    </w:p>
    <w:p w14:paraId="00000038" w14:textId="77777777" w:rsidR="0099768D" w:rsidRDefault="0099768D">
      <w:pPr>
        <w:pBdr>
          <w:top w:val="nil"/>
          <w:left w:val="nil"/>
          <w:bottom w:val="nil"/>
          <w:right w:val="nil"/>
          <w:between w:val="nil"/>
        </w:pBdr>
        <w:tabs>
          <w:tab w:val="left" w:pos="1985"/>
          <w:tab w:val="left" w:pos="2127"/>
        </w:tabs>
        <w:spacing w:before="120" w:after="120" w:line="240" w:lineRule="auto"/>
        <w:ind w:left="1656" w:hanging="1372"/>
        <w:rPr>
          <w:rFonts w:ascii="Arial" w:eastAsia="Arial" w:hAnsi="Arial" w:cs="Arial"/>
          <w:color w:val="000000"/>
          <w:sz w:val="24"/>
          <w:szCs w:val="24"/>
        </w:rPr>
      </w:pPr>
    </w:p>
    <w:p w14:paraId="0000003A" w14:textId="57056A25" w:rsidR="0099768D" w:rsidRDefault="00BD1CE0" w:rsidP="00333C04">
      <w:pPr>
        <w:rPr>
          <w:rFonts w:ascii="Arial" w:eastAsia="Arial" w:hAnsi="Arial" w:cs="Arial"/>
          <w:b/>
          <w:sz w:val="36"/>
          <w:szCs w:val="36"/>
        </w:rPr>
      </w:pPr>
      <w:bookmarkStart w:id="7" w:name="_heading=h.1t3h5sf" w:colFirst="0" w:colLast="0"/>
      <w:bookmarkEnd w:id="7"/>
      <w:r>
        <w:rPr>
          <w:rFonts w:ascii="Arial" w:eastAsia="Arial" w:hAnsi="Arial" w:cs="Arial"/>
          <w:b/>
          <w:sz w:val="36"/>
          <w:szCs w:val="36"/>
        </w:rPr>
        <w:lastRenderedPageBreak/>
        <w:t>Annex 1: Rates and Prices</w:t>
      </w:r>
    </w:p>
    <w:p w14:paraId="0000003B" w14:textId="350BE2A2" w:rsidR="0099768D" w:rsidRDefault="00162E17">
      <w:pPr>
        <w:rPr>
          <w:rFonts w:ascii="Arial" w:eastAsia="Arial" w:hAnsi="Arial" w:cs="Arial"/>
          <w:b/>
          <w:sz w:val="24"/>
          <w:szCs w:val="24"/>
        </w:rPr>
      </w:pPr>
      <w:r>
        <w:rPr>
          <w:rFonts w:ascii="Arial" w:eastAsia="Arial" w:hAnsi="Arial" w:cs="Arial"/>
          <w:b/>
        </w:rPr>
        <w:t>Redacted under FOIA section 43, Commercial I</w:t>
      </w:r>
      <w:r w:rsidRPr="00F21FAA">
        <w:rPr>
          <w:rFonts w:ascii="Arial" w:eastAsia="Arial" w:hAnsi="Arial" w:cs="Arial"/>
          <w:b/>
        </w:rPr>
        <w:t>nterests</w:t>
      </w:r>
      <w:bookmarkStart w:id="8" w:name="_GoBack"/>
      <w:bookmarkEnd w:id="8"/>
    </w:p>
    <w:sectPr w:rsidR="0099768D">
      <w:headerReference w:type="default" r:id="rId8"/>
      <w:footerReference w:type="default" r:id="rId9"/>
      <w:headerReference w:type="first" r:id="rId10"/>
      <w:footerReference w:type="first" r:id="rId11"/>
      <w:pgSz w:w="11906" w:h="16838"/>
      <w:pgMar w:top="1888"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0F6E6B" w14:textId="77777777" w:rsidR="0028161D" w:rsidRDefault="0028161D">
      <w:pPr>
        <w:spacing w:after="0" w:line="240" w:lineRule="auto"/>
      </w:pPr>
      <w:r>
        <w:separator/>
      </w:r>
    </w:p>
  </w:endnote>
  <w:endnote w:type="continuationSeparator" w:id="0">
    <w:p w14:paraId="34596CD2" w14:textId="77777777" w:rsidR="0028161D" w:rsidRDefault="002816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default"/>
  </w:font>
  <w:font w:name="STZhongsong">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43" w14:textId="77777777" w:rsidR="0099768D" w:rsidRDefault="00BD1CE0">
    <w:pPr>
      <w:tabs>
        <w:tab w:val="center" w:pos="4513"/>
        <w:tab w:val="right" w:pos="9026"/>
      </w:tabs>
      <w:spacing w:after="0"/>
      <w:rPr>
        <w:rFonts w:ascii="Arial" w:eastAsia="Arial" w:hAnsi="Arial" w:cs="Arial"/>
        <w:sz w:val="20"/>
        <w:szCs w:val="20"/>
      </w:rPr>
    </w:pPr>
    <w:r>
      <w:rPr>
        <w:rFonts w:ascii="Arial" w:eastAsia="Arial" w:hAnsi="Arial" w:cs="Arial"/>
        <w:sz w:val="20"/>
        <w:szCs w:val="20"/>
      </w:rPr>
      <w:t xml:space="preserve">Framework Ref: RM6229                                           </w:t>
    </w:r>
  </w:p>
  <w:p w14:paraId="00000044" w14:textId="4344BF63" w:rsidR="0099768D" w:rsidRDefault="00BD1CE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162E17">
      <w:rPr>
        <w:rFonts w:ascii="Arial" w:eastAsia="Arial" w:hAnsi="Arial" w:cs="Arial"/>
        <w:noProof/>
        <w:color w:val="000000"/>
        <w:sz w:val="20"/>
        <w:szCs w:val="20"/>
      </w:rPr>
      <w:t>3</w:t>
    </w:r>
    <w:r>
      <w:rPr>
        <w:rFonts w:ascii="Arial" w:eastAsia="Arial" w:hAnsi="Arial" w:cs="Arial"/>
        <w:color w:val="000000"/>
        <w:sz w:val="20"/>
        <w:szCs w:val="20"/>
      </w:rPr>
      <w:fldChar w:fldCharType="end"/>
    </w:r>
  </w:p>
  <w:p w14:paraId="00000045" w14:textId="77777777" w:rsidR="0099768D" w:rsidRDefault="00BD1CE0">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color w:val="BFBFBF"/>
        <w:sz w:val="20"/>
        <w:szCs w:val="20"/>
      </w:rPr>
    </w:pPr>
    <w:r>
      <w:rPr>
        <w:rFonts w:ascii="Arial" w:eastAsia="Arial" w:hAnsi="Arial" w:cs="Arial"/>
        <w:sz w:val="20"/>
        <w:szCs w:val="20"/>
      </w:rPr>
      <w:t>Model Version: v3.1</w:t>
    </w:r>
    <w:r>
      <w:rPr>
        <w:rFonts w:ascii="Arial" w:eastAsia="Arial" w:hAnsi="Arial" w:cs="Arial"/>
        <w:sz w:val="20"/>
        <w:szCs w:val="20"/>
      </w:rPr>
      <w:tab/>
    </w:r>
    <w:r>
      <w:rPr>
        <w:rFonts w:ascii="Arial" w:eastAsia="Arial" w:hAnsi="Arial" w:cs="Arial"/>
        <w:color w:val="BFBFBF"/>
        <w:sz w:val="20"/>
        <w:szCs w:val="20"/>
      </w:rPr>
      <w:tab/>
    </w:r>
    <w:r>
      <w:rPr>
        <w:color w:val="BFBFBF"/>
      </w:rPr>
      <w:tab/>
    </w:r>
    <w:r>
      <w:rPr>
        <w:color w:val="BFBFBF"/>
      </w:rPr>
      <w:tab/>
    </w:r>
    <w:r>
      <w:rPr>
        <w:color w:val="BFBFBF"/>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40" w14:textId="77777777" w:rsidR="0099768D" w:rsidRDefault="00BD1CE0">
    <w:pPr>
      <w:tabs>
        <w:tab w:val="center" w:pos="4513"/>
        <w:tab w:val="right" w:pos="9026"/>
      </w:tabs>
      <w:spacing w:after="0"/>
    </w:pPr>
    <w:r>
      <w:t>Framework Ref: RM</w:t>
    </w:r>
    <w:r>
      <w:tab/>
      <w:t xml:space="preserve">                                           </w:t>
    </w:r>
  </w:p>
  <w:p w14:paraId="00000041" w14:textId="77777777" w:rsidR="0099768D" w:rsidRDefault="00BD1CE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14:paraId="00000042" w14:textId="77777777" w:rsidR="0099768D" w:rsidRDefault="00BD1CE0">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66D9DC" w14:textId="77777777" w:rsidR="0028161D" w:rsidRDefault="0028161D">
      <w:pPr>
        <w:spacing w:after="0" w:line="240" w:lineRule="auto"/>
      </w:pPr>
      <w:r>
        <w:separator/>
      </w:r>
    </w:p>
  </w:footnote>
  <w:footnote w:type="continuationSeparator" w:id="0">
    <w:p w14:paraId="76F92FFD" w14:textId="77777777" w:rsidR="0028161D" w:rsidRDefault="002816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3E" w14:textId="77777777" w:rsidR="0099768D" w:rsidRDefault="00BD1CE0">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(Framework Prices)</w:t>
    </w:r>
  </w:p>
  <w:p w14:paraId="0000003F" w14:textId="77777777" w:rsidR="0099768D" w:rsidRDefault="00BD1CE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3C" w14:textId="77777777" w:rsidR="0099768D" w:rsidRDefault="00BD1CE0">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(Framework Prices)</w:t>
    </w:r>
  </w:p>
  <w:p w14:paraId="0000003D" w14:textId="77777777" w:rsidR="0099768D" w:rsidRDefault="00BD1CE0">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7112F"/>
    <w:multiLevelType w:val="multilevel"/>
    <w:tmpl w:val="DB76F600"/>
    <w:lvl w:ilvl="0">
      <w:start w:val="1"/>
      <w:numFmt w:val="decimal"/>
      <w:pStyle w:val="GPSL1CLAUSEHEADING"/>
      <w:lvlText w:val="%1."/>
      <w:lvlJc w:val="left"/>
      <w:pPr>
        <w:ind w:left="360" w:hanging="360"/>
      </w:pPr>
      <w:rPr>
        <w:smallCaps w:val="0"/>
        <w:strike w:val="0"/>
        <w:color w:val="000000"/>
        <w:u w:val="none"/>
        <w:vertAlign w:val="baseline"/>
      </w:rPr>
    </w:lvl>
    <w:lvl w:ilvl="1">
      <w:start w:val="1"/>
      <w:numFmt w:val="decimal"/>
      <w:pStyle w:val="GPSL2numberedclause"/>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990" w:hanging="720"/>
      </w:pPr>
      <w:rPr>
        <w:b w:val="0"/>
        <w:i w:val="0"/>
        <w:smallCaps w:val="0"/>
        <w:strike w:val="0"/>
        <w:color w:val="000000"/>
        <w:sz w:val="24"/>
        <w:szCs w:val="24"/>
        <w:u w:val="none"/>
        <w:vertAlign w:val="baseline"/>
      </w:rPr>
    </w:lvl>
    <w:lvl w:ilvl="3">
      <w:start w:val="1"/>
      <w:numFmt w:val="lowerLetter"/>
      <w:pStyle w:val="GPSL4numberedclause"/>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349"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7C3E26D9"/>
    <w:multiLevelType w:val="multilevel"/>
    <w:tmpl w:val="21005434"/>
    <w:lvl w:ilvl="0">
      <w:start w:val="1"/>
      <w:numFmt w:val="decimal"/>
      <w:pStyle w:val="GPsDefinition"/>
      <w:lvlText w:val="%1."/>
      <w:lvlJc w:val="left"/>
      <w:pPr>
        <w:tabs>
          <w:tab w:val="num" w:pos="720"/>
        </w:tabs>
        <w:ind w:left="720" w:hanging="720"/>
      </w:pPr>
    </w:lvl>
    <w:lvl w:ilvl="1">
      <w:start w:val="1"/>
      <w:numFmt w:val="decimal"/>
      <w:pStyle w:val="GPSDefinitionL2"/>
      <w:lvlText w:val="%2."/>
      <w:lvlJc w:val="left"/>
      <w:pPr>
        <w:tabs>
          <w:tab w:val="num" w:pos="1440"/>
        </w:tabs>
        <w:ind w:left="1440" w:hanging="720"/>
      </w:pPr>
    </w:lvl>
    <w:lvl w:ilvl="2">
      <w:start w:val="1"/>
      <w:numFmt w:val="decimal"/>
      <w:pStyle w:val="GPSDefinitionL3"/>
      <w:lvlText w:val="%3."/>
      <w:lvlJc w:val="left"/>
      <w:pPr>
        <w:tabs>
          <w:tab w:val="num" w:pos="2160"/>
        </w:tabs>
        <w:ind w:left="2160" w:hanging="720"/>
      </w:pPr>
    </w:lvl>
    <w:lvl w:ilvl="3">
      <w:start w:val="1"/>
      <w:numFmt w:val="decimal"/>
      <w:pStyle w:val="GPSDefinitionL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768D"/>
    <w:rsid w:val="00162E17"/>
    <w:rsid w:val="0028161D"/>
    <w:rsid w:val="00333C04"/>
    <w:rsid w:val="0099768D"/>
    <w:rsid w:val="00BD1C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0C104A"/>
  <w15:docId w15:val="{3D7341BE-5EF7-4053-A228-0F4FF077C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character" w:styleId="Emphasis">
    <w:name w:val="Emphasis"/>
    <w:basedOn w:val="DefaultParagraphFont"/>
    <w:rPr>
      <w:i/>
      <w:iCs/>
    </w:rP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ind w:left="644"/>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 w:val="num" w:pos="2160"/>
      </w:tabs>
    </w:p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autoRedefine/>
    <w:rsid w:val="003C776E"/>
    <w:pPr>
      <w:tabs>
        <w:tab w:val="clear" w:pos="0"/>
        <w:tab w:val="left" w:pos="142"/>
      </w:tabs>
      <w:spacing w:before="120"/>
      <w:ind w:left="360"/>
      <w:outlineLvl w:val="9"/>
    </w:pPr>
    <w:rPr>
      <w:rFonts w:ascii="Arial" w:hAnsi="Arial"/>
      <w:caps w:val="0"/>
      <w:sz w:val="24"/>
    </w:rPr>
  </w:style>
  <w:style w:type="character" w:customStyle="1" w:styleId="GPSL1SCHEDULEHeadingChar">
    <w:name w:val="GPS L1 SCHEDULE Heading Char"/>
    <w:link w:val="GPSL1SCHEDULEHeading"/>
    <w:rsid w:val="003C776E"/>
    <w:rPr>
      <w:rFonts w:ascii="Arial" w:eastAsia="STZhongsong" w:hAnsi="Arial" w:cs="Arial"/>
      <w:b/>
      <w:sz w:val="24"/>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SchAnnexname">
    <w:name w:val="GPS Sch Annex name"/>
    <w:basedOn w:val="Normal"/>
    <w:link w:val="GPSSchAnnexnameChar"/>
    <w:qFormat/>
    <w:pPr>
      <w:keepNext/>
      <w:adjustRightInd w:val="0"/>
      <w:spacing w:after="240" w:line="240" w:lineRule="auto"/>
      <w:jc w:val="center"/>
      <w:outlineLvl w:val="1"/>
    </w:pPr>
    <w:rPr>
      <w:rFonts w:eastAsia="STZhongsong" w:cs="Times New Roman"/>
      <w:b/>
      <w:caps/>
      <w:sz w:val="20"/>
      <w:lang w:eastAsia="zh-CN"/>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character" w:customStyle="1" w:styleId="Heading6Char5">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locked/>
    <w:rPr>
      <w:rFonts w:ascii="Calibri" w:hAnsi="Calibri"/>
      <w:b/>
      <w:lang w:val="x-none" w:eastAsia="en-GB"/>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2NumberedBoldHeading">
    <w:name w:val="GPS L2 Numbered Bold Heading"/>
    <w:basedOn w:val="Normal"/>
    <w:link w:val="GPSL2NumberedBoldHeadingChar"/>
    <w:qFormat/>
    <w:pPr>
      <w:tabs>
        <w:tab w:val="left" w:pos="1134"/>
      </w:tabs>
      <w:adjustRightInd w:val="0"/>
      <w:spacing w:before="120" w:after="120" w:line="240" w:lineRule="auto"/>
      <w:ind w:left="644" w:hanging="218"/>
      <w:jc w:val="both"/>
    </w:pPr>
    <w:rPr>
      <w:rFonts w:eastAsia="Times New Roman" w:cs="Arial"/>
      <w:b/>
      <w:lang w:eastAsia="zh-CN"/>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2GuidanceNumbered">
    <w:name w:val="GPS L2 Guidance Numbered"/>
    <w:basedOn w:val="Normal"/>
    <w:link w:val="GPSL2GuidanceNumberedChar"/>
    <w:qFormat/>
    <w:pPr>
      <w:tabs>
        <w:tab w:val="num" w:pos="720"/>
        <w:tab w:val="left" w:pos="1418"/>
      </w:tabs>
      <w:adjustRightInd w:val="0"/>
      <w:spacing w:before="120" w:after="120" w:line="240" w:lineRule="auto"/>
      <w:ind w:left="720" w:hanging="720"/>
      <w:jc w:val="both"/>
    </w:pPr>
    <w:rPr>
      <w:rFonts w:eastAsia="Times New Roman" w:cs="Arial"/>
      <w:b/>
      <w:i/>
      <w:lang w:eastAsia="zh-CN"/>
    </w:rPr>
  </w:style>
  <w:style w:type="paragraph" w:customStyle="1" w:styleId="GPSL3Guidance">
    <w:name w:val="GPS L3 Guidance"/>
    <w:basedOn w:val="GPSL3numberedclause"/>
    <w:link w:val="GPSL3GuidanceChar"/>
    <w:qFormat/>
    <w:pPr>
      <w:numPr>
        <w:ilvl w:val="0"/>
        <w:numId w:val="0"/>
      </w:numPr>
      <w:tabs>
        <w:tab w:val="clear" w:pos="2127"/>
      </w:tabs>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Part">
    <w:name w:val="GPS Sch Part"/>
    <w:basedOn w:val="GPSSchAnnexname"/>
    <w:link w:val="GPSSchPartChar"/>
    <w:qFormat/>
    <w:pPr>
      <w:spacing w:before="240"/>
      <w:ind w:firstLine="426"/>
      <w:outlineLvl w:val="9"/>
    </w:pPr>
    <w:rPr>
      <w:rFonts w:ascii="Arial Bold" w:hAnsi="Arial Bold"/>
      <w:sz w:val="22"/>
    </w:rPr>
  </w:style>
  <w:style w:type="paragraph" w:customStyle="1" w:styleId="GPSL2Numbered">
    <w:name w:val="GPS L2 Numbered"/>
    <w:basedOn w:val="GPSL2NumberedBoldHeading"/>
    <w:link w:val="GPSL2NumberedChar"/>
    <w:qFormat/>
    <w:pPr>
      <w:tabs>
        <w:tab w:val="left" w:pos="709"/>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4Guidance">
    <w:name w:val="GPS L4 Guidance"/>
    <w:basedOn w:val="GPSL3Guidance"/>
    <w:link w:val="GPSL4GuidanceChar"/>
    <w:qFormat/>
  </w:style>
  <w:style w:type="character" w:customStyle="1" w:styleId="GPSL4GuidanceChar">
    <w:name w:val="GPS L4 Guidance Char"/>
    <w:link w:val="GPSL4Guidance"/>
    <w:locked/>
    <w:rPr>
      <w:rFonts w:ascii="Calibri" w:eastAsia="Times New Roman" w:hAnsi="Calibri" w:cs="Arial"/>
      <w:b/>
      <w:i/>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GuidanceNumberedChar">
    <w:name w:val="GPS L2 Guidance Numbered Char"/>
    <w:link w:val="GPSL2GuidanceNumbered"/>
    <w:rPr>
      <w:rFonts w:eastAsia="Times New Roman" w:cs="Arial"/>
      <w:b/>
      <w:i/>
      <w:lang w:eastAsia="zh-CN"/>
    </w:rPr>
  </w:style>
  <w:style w:type="character" w:customStyle="1" w:styleId="GPSL3GuidanceChar">
    <w:name w:val="GPS L3 Guidance Char"/>
    <w:link w:val="GPSL3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styleId="Hyperlink">
    <w:name w:val="Hyperlink"/>
    <w:basedOn w:val="DefaultParagraphFont"/>
    <w:uiPriority w:val="99"/>
    <w:unhideWhenUsed/>
    <w:rPr>
      <w:color w:val="0000FF" w:themeColor="hyperlink"/>
      <w:u w:val="single"/>
    </w:rPr>
  </w:style>
  <w:style w:type="paragraph" w:customStyle="1" w:styleId="Normal1">
    <w:name w:val="Normal1"/>
    <w:pPr>
      <w:widowControl w:val="0"/>
      <w:spacing w:after="80" w:line="240" w:lineRule="auto"/>
    </w:pPr>
    <w:rPr>
      <w:color w:val="000000"/>
    </w:rPr>
  </w:style>
  <w:style w:type="paragraph" w:styleId="Revision">
    <w:name w:val="Revision"/>
    <w:hidden/>
    <w:uiPriority w:val="99"/>
    <w:semiHidden/>
    <w:pPr>
      <w:spacing w:after="0" w:line="240" w:lineRule="auto"/>
    </w:pPr>
  </w:style>
  <w:style w:type="character" w:customStyle="1" w:styleId="GPSL2NumberedBoldHeadingChar">
    <w:name w:val="GPS L2 Numbered Bold Heading Char"/>
    <w:link w:val="GPSL2NumberedBoldHeading"/>
    <w:locked/>
    <w:rsid w:val="0057789E"/>
    <w:rPr>
      <w:rFonts w:ascii="Calibri" w:eastAsia="Times New Roman" w:hAnsi="Calibri" w:cs="Arial"/>
      <w:b/>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cq1qCl0uDi+uJ9xbpV8lfuXJnzA==">AMUW2mU92HFgqakIojtcPHxYlDEBITvpdaPFr2JrK/hXcV6Q3VVss3zYEMVx40nuXyBAZpwKSeC7bi6UdVQ7Hotg+cn/Y1SR1e8xV5EpG/PANoDCBhNBIn3C9l1uDWWYNj1l6w78C2sHD012Rjs5JEVJRuUzcAR2/KqO4vkDwEItmpLRg/KrUxz7pC4/kpsQKXguJk6O8YLx5RWAguuIIgV5REMfs1Gxbx+ycgT2skKTCiDarOZod7Q=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856</Words>
  <Characters>4884</Characters>
  <Application>Microsoft Office Word</Application>
  <DocSecurity>0</DocSecurity>
  <Lines>40</Lines>
  <Paragraphs>11</Paragraphs>
  <ScaleCrop>false</ScaleCrop>
  <Company>Cabinet Office</Company>
  <LinksUpToDate>false</LinksUpToDate>
  <CharactersWithSpaces>5729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leah morrow</cp:lastModifiedBy>
  <cp:revision>3</cp:revision>
  <dcterms:created xsi:type="dcterms:W3CDTF">2018-06-14T15:09:00Z</dcterms:created>
  <dcterms:modified xsi:type="dcterms:W3CDTF">2022-04-27T12:12:00Z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